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60" w:line="25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793740" cy="9144000"/>
            <wp:effectExtent l="0" t="0" r="0" b="0"/>
            <wp:docPr id="1" name="Рисунок 1" descr="C:\Users\Комп\Downloads\Ахметзян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Ахметзяно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837" cy="914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after="0" w:line="240" w:lineRule="auto"/>
        <w:ind w:left="720" w:right="6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Художественно-эстетическое воспитание занимает одно из ведущих мест в содержании воспитательного процесса дошкольного образовательного учреждения и является его приоритетным направлением.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детей, а также развития их творческих способностей представляет театрализованная деятельность. Целью современного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образования,  которое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заключается в воспитании и развитии личности ребёнка, важным направлением в развитии личности является формирование творческих способностей детей.</w:t>
      </w:r>
    </w:p>
    <w:p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Авторская дополнительная общеобразовательная общеразвивающая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программа  является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 развивающей программой художественной  направленности. .</w:t>
      </w:r>
    </w:p>
    <w:p>
      <w:pPr>
        <w:spacing w:after="0" w:line="240" w:lineRule="auto"/>
        <w:ind w:firstLine="68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Нормативно-правовое обеспечение программы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>
      <w:pPr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Концепция развития дополнительного образования детей от 4 сентября 2014 г. </w:t>
      </w:r>
    </w:p>
    <w:p>
      <w:pPr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№ 1726-р.</w:t>
      </w:r>
    </w:p>
    <w:p>
      <w:pPr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Приказ Министерства образования и науки Российской Федерации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>
      <w:pPr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Примерные требования к содержанию и оформлению образовательных программ дополнительного образования детей Министерства образования (Приложение к письму Департамента молодежной политики, воспитания и социальной поддержки детей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Минобрнауки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России от 11 декабря 2006 г. № 06-1844).</w:t>
      </w:r>
    </w:p>
    <w:p>
      <w:pPr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Федеральный закон об образовании в Российской Федерации от 29 декабря 2012 года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de-DE"/>
        </w:rPr>
        <w:t xml:space="preserve">N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273-Ф3.</w:t>
      </w:r>
    </w:p>
    <w:p>
      <w:pPr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Письмо Министерства образования и науки Российской Федерации от 18 ноября 2015 г.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de-DE"/>
        </w:rPr>
        <w:t xml:space="preserve">N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09-3242 «Методические рекомендации по проектированию дополнительных общеразвивающих программ (включая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разноуровневые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программы)»</w:t>
      </w:r>
    </w:p>
    <w:p>
      <w:pPr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Методические рекомендации по разработке и реализации программ дополнительного образования ГБОУ ВО города Москвы «Московский городской педагогический университет» / Составители М.М.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Шалашова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Д.А. Махотин и др. - Москва, ГБОУ ВО МПГУ 2016. 88 с.</w:t>
      </w:r>
    </w:p>
    <w:p>
      <w:pPr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Письмо Министерства образования и науки РФ (Департамент государственной политики в сфере воспитания детей и молодежи) «О направлении информации» от 18.11.2015 № 09-3242.</w:t>
      </w:r>
    </w:p>
    <w:p>
      <w:pPr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Методические рекомендации по разработке и оформлению ДОП.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Буйлова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Л.Н.</w:t>
      </w:r>
    </w:p>
    <w:p>
      <w:pPr>
        <w:widowControl w:val="0"/>
        <w:numPr>
          <w:ilvl w:val="0"/>
          <w:numId w:val="2"/>
        </w:numPr>
        <w:tabs>
          <w:tab w:val="left" w:pos="514"/>
          <w:tab w:val="left" w:pos="51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Москва, ГАОУ ВО «Московский институт открытого образования», 2015.</w:t>
      </w:r>
    </w:p>
    <w:p>
      <w:pPr>
        <w:widowControl w:val="0"/>
        <w:numPr>
          <w:ilvl w:val="0"/>
          <w:numId w:val="3"/>
        </w:numPr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Методические рекомендации по разработке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разноуровневых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программ дополнительного образования. - Москва, ГАОУ ВО «МГПУ», АНО ДПО </w:t>
      </w:r>
    </w:p>
    <w:p>
      <w:pPr>
        <w:widowControl w:val="0"/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  <w:sectPr>
          <w:footerReference w:type="default" r:id="rId8"/>
          <w:pgSz w:w="11909" w:h="16838"/>
          <w:pgMar w:top="1134" w:right="850" w:bottom="1134" w:left="1701" w:header="0" w:footer="3" w:gutter="233"/>
          <w:cols w:space="720"/>
          <w:noEndnote/>
          <w:titlePg/>
          <w:docGrid w:linePitch="360"/>
        </w:sectPr>
      </w:pPr>
    </w:p>
    <w:p>
      <w:pPr>
        <w:pStyle w:val="a5"/>
        <w:spacing w:after="16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Актуальность</w:t>
      </w:r>
    </w:p>
    <w:p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Театрализованная деятельность представляет собой органический синтез художественной литературы, музыки, танца, актерского мастерства и сосредотачивает в себе средства выразительности, имеющиеся в арсенале отдельных искусств, способствует развитию эстетического восприятия окружающего мира, фантазии, воображения, памяти, познавательных процессов, знания об окружающем мире и готовности к взаимодействию с ними.</w:t>
      </w:r>
    </w:p>
    <w:p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Актуальность определяется необходимостью формирования у </w:t>
      </w:r>
      <w:proofErr w:type="gramStart"/>
      <w:r>
        <w:rPr>
          <w:rFonts w:ascii="Times New Roman" w:hAnsi="Times New Roman"/>
          <w:sz w:val="24"/>
          <w:szCs w:val="24"/>
        </w:rPr>
        <w:t>обучающихся  качеств</w:t>
      </w:r>
      <w:proofErr w:type="gramEnd"/>
      <w:r>
        <w:rPr>
          <w:rFonts w:ascii="Times New Roman" w:hAnsi="Times New Roman"/>
          <w:sz w:val="24"/>
          <w:szCs w:val="24"/>
        </w:rPr>
        <w:t>, которые станут залогом их успешности в будущем: выразительности, умения излагать свои мысли, эмоциональной устойчивости, ответственности и трудолюбия.</w:t>
      </w:r>
    </w:p>
    <w:p>
      <w:pPr>
        <w:pStyle w:val="a5"/>
        <w:spacing w:after="16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Отличительные особенности</w:t>
      </w:r>
    </w:p>
    <w:p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Театр как вид искусства является средством познания жизни, но и школой нравственного и эстетического воспитания подрастающего поколения.</w:t>
      </w:r>
    </w:p>
    <w:p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Занятия театрализованной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раскрепощают его творческие возможности и помогают психологической адаптации ребенка в коллективе.</w:t>
      </w:r>
      <w:r>
        <w:rPr>
          <w:rFonts w:ascii="Times New Roman" w:hAnsi="Times New Roman"/>
          <w:sz w:val="24"/>
          <w:szCs w:val="24"/>
        </w:rPr>
        <w:br/>
        <w:t xml:space="preserve">     В театральной деятельности каждый ребенок может проявить свои способности, чувства, эмоции, передать свое отношение к персонажам и сказочным событиям.</w:t>
      </w:r>
    </w:p>
    <w:p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Сочетая возможности нескольких видов искусств – музыки, танца, литературы и актерской игры, театр обладает огромной силой воздействия на эмоциональный мир ребенка.         </w:t>
      </w:r>
      <w:r>
        <w:rPr>
          <w:rFonts w:ascii="Times New Roman" w:hAnsi="Times New Roman"/>
          <w:sz w:val="24"/>
          <w:szCs w:val="24"/>
        </w:rPr>
        <w:br/>
        <w:t xml:space="preserve">    Замкнутому ребенку он помогает раскрыться, а расторможенному – научиться координировать свои действия, сострадать и любить, поможет объединить духовной близостью не только детей, но и детей и родителей. Разбуженные эстетические чувства, обогащение нравственного мира способствуют развитию в юном актере, а также зрителе творческих способностей, которые найдут выход в труде, в отношениях со сверстниками и взрослыми, в обретении активной жизненной позиции.</w:t>
      </w:r>
    </w:p>
    <w:p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</w:rPr>
        <w:t xml:space="preserve">   Таким образом, можно с </w:t>
      </w:r>
      <w:proofErr w:type="gramStart"/>
      <w:r>
        <w:rPr>
          <w:rStyle w:val="c1"/>
          <w:color w:val="000000"/>
        </w:rPr>
        <w:t>уверенностью  сказать</w:t>
      </w:r>
      <w:proofErr w:type="gramEnd"/>
      <w:r>
        <w:rPr>
          <w:rStyle w:val="c1"/>
          <w:color w:val="000000"/>
        </w:rPr>
        <w:t>, что театр имеет большое значение в жизни ребёнка. Театральная деятельность развивает личность ребёнка, прививает устойчивый интерес к литературе, развивает умственные способности, речь, способствует координации движения, развивает творческие способности и воображение. Театральная деятельность помогает эмоционально и физически разрядиться. Поэтому так важно приобщать ребёнка с самого раннего возраста к музыке, литературе, театру. Чем раньше начать развивать детское творчество, тем больших результатов можно достигнуть.</w:t>
      </w:r>
    </w:p>
    <w:p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Основная форма организации деятельности- коллективная. </w:t>
      </w:r>
      <w:r>
        <w:rPr>
          <w:rFonts w:ascii="Times New Roman" w:hAnsi="Times New Roman"/>
          <w:bCs/>
          <w:sz w:val="24"/>
          <w:szCs w:val="24"/>
        </w:rPr>
        <w:t>Однако занятия могут проводиться в малых группах и индивидуально.</w:t>
      </w:r>
    </w:p>
    <w:p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Традиционные формы занятий следующие: беседа, ролевая игра, познавательная игра, занятие-игра, репетиция, </w:t>
      </w:r>
      <w:proofErr w:type="gramStart"/>
      <w:r>
        <w:rPr>
          <w:rFonts w:ascii="Times New Roman" w:hAnsi="Times New Roman"/>
          <w:sz w:val="24"/>
          <w:szCs w:val="24"/>
        </w:rPr>
        <w:t>тренинг,  спектакль</w:t>
      </w:r>
      <w:proofErr w:type="gramEnd"/>
      <w:r>
        <w:rPr>
          <w:rFonts w:ascii="Times New Roman" w:hAnsi="Times New Roman"/>
          <w:sz w:val="24"/>
          <w:szCs w:val="24"/>
        </w:rPr>
        <w:t>, праздник.</w:t>
      </w:r>
    </w:p>
    <w:p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/>
          <w:sz w:val="24"/>
          <w:szCs w:val="24"/>
        </w:rPr>
      </w:pPr>
    </w:p>
    <w:p>
      <w:pPr>
        <w:pStyle w:val="a5"/>
        <w:spacing w:after="16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a5"/>
        <w:spacing w:after="16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a5"/>
        <w:spacing w:after="16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a5"/>
        <w:spacing w:after="16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a5"/>
        <w:spacing w:after="16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a5"/>
        <w:spacing w:after="16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pStyle w:val="a5"/>
        <w:spacing w:after="16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Цель программы</w:t>
      </w:r>
    </w:p>
    <w:p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Развитие творческих способностей и эмоционально-личностной сферы обучающихся, овладение навыками общения посредством театрального искусства.</w:t>
      </w:r>
    </w:p>
    <w:p>
      <w:pPr>
        <w:pStyle w:val="a5"/>
        <w:spacing w:after="16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>
      <w:pPr>
        <w:pStyle w:val="a5"/>
        <w:numPr>
          <w:ilvl w:val="0"/>
          <w:numId w:val="18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помочь обучающимся овладеть навыками общения и коллективного творчества; </w:t>
      </w:r>
    </w:p>
    <w:p>
      <w:pPr>
        <w:pStyle w:val="a5"/>
        <w:numPr>
          <w:ilvl w:val="0"/>
          <w:numId w:val="18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развить индивидуальность, личную культуру, коммуникативные способности; </w:t>
      </w:r>
    </w:p>
    <w:p>
      <w:pPr>
        <w:pStyle w:val="a5"/>
        <w:numPr>
          <w:ilvl w:val="0"/>
          <w:numId w:val="18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обучить </w:t>
      </w:r>
      <w:proofErr w:type="spellStart"/>
      <w:r>
        <w:rPr>
          <w:rFonts w:ascii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самоконтролю; </w:t>
      </w:r>
    </w:p>
    <w:p>
      <w:pPr>
        <w:pStyle w:val="a5"/>
        <w:numPr>
          <w:ilvl w:val="0"/>
          <w:numId w:val="18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чуткость к сценическому искусству; </w:t>
      </w:r>
    </w:p>
    <w:p>
      <w:pPr>
        <w:pStyle w:val="a5"/>
        <w:numPr>
          <w:ilvl w:val="0"/>
          <w:numId w:val="18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знакомить детей с терминологией театрального искусства.</w:t>
      </w:r>
    </w:p>
    <w:p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a5"/>
        <w:numPr>
          <w:ilvl w:val="0"/>
          <w:numId w:val="19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развить внимание, фантазию, память, воображение, </w:t>
      </w:r>
      <w:proofErr w:type="gramStart"/>
      <w:r>
        <w:rPr>
          <w:rFonts w:ascii="Times New Roman" w:hAnsi="Times New Roman"/>
          <w:sz w:val="24"/>
          <w:szCs w:val="24"/>
        </w:rPr>
        <w:t>наблюдательность,  активизировать</w:t>
      </w:r>
      <w:proofErr w:type="gramEnd"/>
      <w:r>
        <w:rPr>
          <w:rFonts w:ascii="Times New Roman" w:hAnsi="Times New Roman"/>
          <w:sz w:val="24"/>
          <w:szCs w:val="24"/>
        </w:rPr>
        <w:t xml:space="preserve"> ассоциативное и образное мышление;</w:t>
      </w:r>
    </w:p>
    <w:p>
      <w:pPr>
        <w:pStyle w:val="a5"/>
        <w:numPr>
          <w:ilvl w:val="0"/>
          <w:numId w:val="19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развить способность создавать образы с помощью жеста и мимики; </w:t>
      </w:r>
    </w:p>
    <w:p>
      <w:pPr>
        <w:pStyle w:val="a5"/>
        <w:numPr>
          <w:ilvl w:val="0"/>
          <w:numId w:val="19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пользоваться интонациями, выражающими разнообразные эмоциональные состояния;</w:t>
      </w:r>
    </w:p>
    <w:p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Обучающие:</w:t>
      </w:r>
    </w:p>
    <w:p>
      <w:pPr>
        <w:pStyle w:val="a5"/>
        <w:numPr>
          <w:ilvl w:val="0"/>
          <w:numId w:val="20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развивать  личностные</w:t>
      </w:r>
      <w:proofErr w:type="gramEnd"/>
      <w:r>
        <w:rPr>
          <w:rFonts w:ascii="Times New Roman" w:hAnsi="Times New Roman"/>
          <w:sz w:val="24"/>
          <w:szCs w:val="24"/>
        </w:rPr>
        <w:t xml:space="preserve"> качества: отзывчивость, доброта, целеустремленность, добросовестность, любознательность; </w:t>
      </w:r>
    </w:p>
    <w:p>
      <w:pPr>
        <w:pStyle w:val="a5"/>
        <w:numPr>
          <w:ilvl w:val="0"/>
          <w:numId w:val="20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познавательную и эмоционально-личностную сферу.</w:t>
      </w:r>
    </w:p>
    <w:p>
      <w:pPr>
        <w:pStyle w:val="a5"/>
        <w:spacing w:after="16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pStyle w:val="a5"/>
        <w:spacing w:after="16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программы обеспечивает достижение учащимися личностных,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>
      <w:pPr>
        <w:pStyle w:val="a5"/>
        <w:numPr>
          <w:ilvl w:val="0"/>
          <w:numId w:val="21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уметь общаться со сверстниками и взрослыми в разных ситуациях; </w:t>
      </w:r>
    </w:p>
    <w:p>
      <w:pPr>
        <w:pStyle w:val="a5"/>
        <w:numPr>
          <w:ilvl w:val="0"/>
          <w:numId w:val="21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быть эмоционально раскрепощенным, чувствовать себя комфортно в любых жизненных ситуациях;</w:t>
      </w:r>
    </w:p>
    <w:p>
      <w:pPr>
        <w:pStyle w:val="a5"/>
        <w:numPr>
          <w:ilvl w:val="0"/>
          <w:numId w:val="21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быть доброжелательными и контактными.</w:t>
      </w:r>
    </w:p>
    <w:p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результаты:  </w:t>
      </w:r>
    </w:p>
    <w:p>
      <w:pPr>
        <w:pStyle w:val="a5"/>
        <w:numPr>
          <w:ilvl w:val="0"/>
          <w:numId w:val="22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планировать свои действия в соответствии с поставленной задачей, условиями её реализации;  </w:t>
      </w:r>
    </w:p>
    <w:p>
      <w:pPr>
        <w:pStyle w:val="a5"/>
        <w:numPr>
          <w:ilvl w:val="0"/>
          <w:numId w:val="22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>
      <w:pPr>
        <w:pStyle w:val="a5"/>
        <w:numPr>
          <w:ilvl w:val="0"/>
          <w:numId w:val="22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событий.</w:t>
      </w:r>
    </w:p>
    <w:p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Уметь:   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пространстве, равномерно размещаться на сценической площадке;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уметь двигаться в заданном ритме;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сцене выполнять свободно и естественно простейшие физические действия;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произвольно напрягать и расслаблять отдельные группы мышц;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сочинять небольшой рассказ на заданную тему;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менять по заданию педагога высоту и силу звучания голоса;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произносить скороговорки и стихотворный текст в движении;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прочитать наизусть стихотворный текст, правильно произнося слова и расставляя логические ударения;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элементарной терминологией театрального искусства;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владеть навыками </w:t>
      </w:r>
      <w:proofErr w:type="spellStart"/>
      <w:r>
        <w:rPr>
          <w:rFonts w:ascii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/>
          <w:sz w:val="24"/>
          <w:szCs w:val="24"/>
        </w:rPr>
        <w:t>, самоконтроля;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навыками согласованных действий в группе;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иметь развитую фантазию и воображение;</w:t>
      </w:r>
    </w:p>
    <w:p>
      <w:pPr>
        <w:pStyle w:val="a5"/>
        <w:numPr>
          <w:ilvl w:val="0"/>
          <w:numId w:val="2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навыками культурной речи.</w:t>
      </w:r>
    </w:p>
    <w:p>
      <w:pPr>
        <w:widowControl w:val="0"/>
        <w:tabs>
          <w:tab w:val="left" w:pos="366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  <w:sectPr>
          <w:footerReference w:type="default" r:id="rId9"/>
          <w:pgSz w:w="11909" w:h="16838"/>
          <w:pgMar w:top="1134" w:right="850" w:bottom="1134" w:left="1701" w:header="0" w:footer="3" w:gutter="233"/>
          <w:cols w:space="720"/>
          <w:noEndnote/>
          <w:titlePg/>
          <w:docGrid w:linePitch="360"/>
        </w:sectPr>
      </w:pPr>
    </w:p>
    <w:p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6.Учебно-тематический план</w:t>
      </w:r>
    </w:p>
    <w:tbl>
      <w:tblPr>
        <w:tblW w:w="1037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6129"/>
        <w:gridCol w:w="851"/>
        <w:gridCol w:w="1032"/>
        <w:gridCol w:w="811"/>
        <w:gridCol w:w="850"/>
      </w:tblGrid>
      <w:tr>
        <w:trPr>
          <w:trHeight w:val="377"/>
        </w:trPr>
        <w:tc>
          <w:tcPr>
            <w:tcW w:w="705" w:type="dxa"/>
            <w:vMerge w:val="restart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29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32" w:type="dxa"/>
            <w:tcBorders>
              <w:lef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166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</w:tr>
      <w:tr>
        <w:trPr>
          <w:trHeight w:val="332"/>
        </w:trPr>
        <w:tc>
          <w:tcPr>
            <w:tcW w:w="705" w:type="dxa"/>
            <w:vMerge/>
            <w:tcBorders>
              <w:bottom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9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61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Введение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Вводное занятие Набор учащихся. Ознакомление с планом работы кружка. Проведение инструктажа. Организационные работы.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Татарское народное творчество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Татарское народное творчество 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Просмотр презентации. Ознакомительное занятие.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Изучение татарских  народных песен  для детей.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Уяталар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Зәлидә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Әй әбием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. “Кәләпушем калфагым”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Чтение татарских народных сказок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“Башмаки”, “Мудрый старик”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Поговорки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Потешки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Изучение колыбельных песни</w:t>
            </w:r>
            <w: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661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rPr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Колыбельные песни: «Спят усталые игрушки», “Бишек җыры”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Подведение итогов по данному разделу.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III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Театральное искусство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Театральное искусство, его главная особенность.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История татарского театра.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Просмотр видео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фрагментов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татарского театра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сюжета, манер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двигаться на сцене.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widowControl w:val="0"/>
              <w:tabs>
                <w:tab w:val="left" w:pos="35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Реплика – отражение характера персонажа.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Просмотр видеозаписей.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Драматические паузы.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Репетиционные занятия по технике речи, мимическим и сценическим движениям.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Мизансцена как средство раскрытия образного содержания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Пластическая импровизация на ходу в заданном образе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Подведение итогов по данному разделу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Игры с песнями и с танцами (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Җырлы-биюле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уеннар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Игры с песнями и с танцами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Җырлы-биюле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уеннар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“Төймә – төймә”, “Алия –Гөлия”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“Миңлебай”, “Габдулла”,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Подведение итогов по данному разделу.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Народный календарь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Знакомство с календарными праздниками и обрядами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«Каз өмәсе» Вводная информация.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Просмотр видеофрагментов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Изучение музыкального театрального представления, воспроизведение музыки и декораций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Повторение музыкального театрального представления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Генеральная репетиция музыкального театрального представления “Каз өмәсе"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Музыкально театральное представление “Каз өмәсе"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Вводная информация. Просмотр презентации, беседа по теме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Науруз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празднику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Науруз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Разучивание песен, танцев и стихотворений. Распределение ролей.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праздника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Науруз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“Каз өмәсе» Вводная информация.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Просмотр видеофрагментов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Изучение музыкального театрального представления, воспроизведение музыки и декораций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Повторение музыкального театрального представления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Генеральная репетиция музыкального театрального представления “Каз өмәсе"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Музыкально театральное представление “Каз өмәсе"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Вводная информация. Просмотр презентации, беседа по теме «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Аулак өй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празднику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Аулак өй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Разучивание песен, танцев и стихотворений. Распределение ролей.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праздника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Аулак өй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«Сабантуй» Вводная информация.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Просмотр видеофрагментов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Изучение музыкального театрального представления, воспроизведение музыки и декораций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Повторение музыкального театрального представления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50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Генеральная репетиция музыкального театрального представления “Сабантуй"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Музыкально театральное представление “Сабантуй"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Вводная информация. Просмотр презентации, беседа по теме «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Сабантуй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празднику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Сабантуй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Разучивание песен, танцев и стихотворений. Распределение ролей.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праздника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Сабантуй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весенних песен к празднику: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ә»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Сыерчык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Ләйсән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яңгыр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Подведение итогов по данному разделу.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Массовые мероприятия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Массовые мероприятия учебного характера: концерты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Массовые мероприятия учебного характера: кон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курсы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Массовые мероприятия учебного характера: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викторины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Массовые мероприятия учебного характера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:загадки.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Массовые мероприятия учебного характера: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танцы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Массовые мероприятия учебного характера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: круглые столы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тематические праздники, досуговые мероприятия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65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.: тематические праздники, досуговые мероприятия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встречи.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Музыкальный театральной представления “Каз өмәсе"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Подведение итогов по данному разделу.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Вывод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Совместно с учащимися, занятыми на кружке, сделать анализ о ежегодной деятельности.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Совместно с учащимися, занятыми на кружке, сделать анализ о ежегодной деятельности.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70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Сделать анализ.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71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Подведение итогов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72</w:t>
            </w: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Поздравление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  <w:lang w:val="tt-RU" w:eastAsia="ru-RU"/>
              </w:rPr>
            </w:pP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>
          <w:trHeight w:val="447"/>
        </w:trPr>
        <w:tc>
          <w:tcPr>
            <w:tcW w:w="70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129" w:type="dxa"/>
            <w:tcBorders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Всего: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val="tt-RU" w:eastAsia="ru-RU"/>
              </w:rPr>
              <w:t>144ч</w:t>
            </w:r>
          </w:p>
        </w:tc>
        <w:tc>
          <w:tcPr>
            <w:tcW w:w="1032" w:type="dxa"/>
            <w:tcBorders>
              <w:lef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>
      <w:pPr>
        <w:rPr>
          <w:rFonts w:ascii="Times New Roman" w:hAnsi="Times New Roman"/>
          <w:b/>
          <w:sz w:val="24"/>
          <w:szCs w:val="24"/>
          <w:lang w:val="tt-RU"/>
        </w:rPr>
      </w:pPr>
    </w:p>
    <w:p>
      <w:pPr>
        <w:rPr>
          <w:rFonts w:ascii="Times New Roman" w:hAnsi="Times New Roman"/>
          <w:b/>
          <w:sz w:val="24"/>
          <w:szCs w:val="24"/>
          <w:lang w:val="tt-RU"/>
        </w:rPr>
      </w:pPr>
    </w:p>
    <w:p>
      <w:pPr>
        <w:rPr>
          <w:rFonts w:ascii="Times New Roman" w:hAnsi="Times New Roman"/>
          <w:b/>
          <w:sz w:val="24"/>
          <w:szCs w:val="24"/>
          <w:lang w:val="tt-RU"/>
        </w:rPr>
      </w:pPr>
    </w:p>
    <w:p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7.Организационно-педагогиичкские условия реализации программы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Формы и режим занятий. Форма проведения занятий: аудиторная. Занятия проводятся в групповой и индивидуальной форме. Для успешного освоения программы количество детей в группе – 6-8 человек. Благодаря форме, содержание занятий обретает внешний вид и становится приспособленным к использованию. </w:t>
      </w:r>
      <w:r>
        <w:rPr>
          <w:rFonts w:ascii="Times New Roman" w:hAnsi="Times New Roman"/>
          <w:sz w:val="24"/>
          <w:szCs w:val="24"/>
          <w:lang w:val="tt-RU"/>
        </w:rPr>
        <w:tab/>
      </w:r>
      <w:r>
        <w:rPr>
          <w:rFonts w:ascii="Times New Roman" w:hAnsi="Times New Roman"/>
          <w:sz w:val="24"/>
          <w:szCs w:val="24"/>
        </w:rPr>
        <w:t xml:space="preserve">В каждой из форм по-разному организуется деятельность учеников. Индивидуальная форма - углубленная индивидуализация обучения, когда каждому дается самостоятельное задание и предполагается высокий уровень познавательной активности и самостоятельности каждого </w:t>
      </w:r>
      <w:proofErr w:type="spellStart"/>
      <w:r>
        <w:rPr>
          <w:rFonts w:ascii="Times New Roman" w:hAnsi="Times New Roman"/>
          <w:sz w:val="24"/>
          <w:szCs w:val="24"/>
        </w:rPr>
        <w:t>ребѐнка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>
      <w:pPr>
        <w:pStyle w:val="a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Групповая форма - предусматривает разделение группы обучающихся на подгруппы для выполнения определенных одинаковых или различных заданий: чтение по ролям, этюды, ритмопластика массовых сцен и др.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Форма обучения: очная. Второй год: 144часа, занятия проводятся 2 раза в неделю по 2 часа.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Основные формы работы: 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Мастер – класс – это занятия в игровой форме, где с помощью различных средств метода театрализации будет проходить изучение основ театрального искусства: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культуры речи;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сценического движения; 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работы над художественным образом.</w:t>
      </w:r>
    </w:p>
    <w:p>
      <w:pPr>
        <w:pStyle w:val="a8"/>
        <w:rPr>
          <w:rFonts w:ascii="Times New Roman" w:hAnsi="Times New Roman"/>
          <w:sz w:val="24"/>
          <w:szCs w:val="24"/>
        </w:rPr>
      </w:pP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2.Репетиция – разбор сюжетной линии. Определение ряда сцен, работа над исполнительским планом, работа над сценическим движением. 3. Индивидуальные занятия – работа над художественным воплощением образа. 4. Показ спектакля или других форм театрализации. 5. Воспитательные формы работы – беседы, посещение театров, концертов, проведение совместных праздников. Индивидуальная работа с родителями – беседы, консультации, приглашения на выступления.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Различные формы работы направлены на сплочение ребят в один дружный, работоспособный творческий состав, что предполагает разно уровневое общение в атмосфере творчества. Разнообразие методов обучения способствует успешному овладению содержания программы: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методы устного изложения материала педагогом и активизации познавательной деятельности обучающихся: рассказ, объяснение, беседа; 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методы иллюстрации и демонстрации при устном изложении изучаемого материала (вербальные методы);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эвристический метод;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методы закрепления изучаемого материала: беседа, работа над текстом, над сценарием; 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методы самостоятельной работы по осмыслению образа: тембр голоса, пластика, грим, костюм;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методы проверки и оценки деятельности: повседневное наблюдение за работой, анкетирование, проверка знания текста и порядка мизансцен.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основу данной программы положены следующие педагогические принципы: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принцип гуманности; 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принцип самооценки личности; 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принцип увлекательности;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принцип толерантности;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принцип креативности.</w:t>
      </w:r>
    </w:p>
    <w:p>
      <w:pPr>
        <w:pStyle w:val="a8"/>
        <w:rPr>
          <w:rFonts w:ascii="Times New Roman" w:hAnsi="Times New Roman"/>
          <w:sz w:val="24"/>
          <w:szCs w:val="24"/>
        </w:rPr>
      </w:pP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Личностно-ориентированный, интегрированный и культурологический подходы к образованию позволяют реализовать концепцию настоящей программы в полном объеме и добиться стабильных позитивных результатов.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Комплексно-целевой подход к образовательному процессу, предполагает: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дифференцированный подбор основных средств обучения и воспитания;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демократический стиль общения и творческое сотрудничество педагога и </w:t>
      </w:r>
      <w:proofErr w:type="spellStart"/>
      <w:r>
        <w:rPr>
          <w:rFonts w:ascii="Times New Roman" w:hAnsi="Times New Roman"/>
          <w:sz w:val="24"/>
          <w:szCs w:val="24"/>
        </w:rPr>
        <w:t>ребѐнка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Применяемые средства обучения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Печатные (книги для чтения, сценарии, специальная литература)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Электронные ресурсы.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Аудиовизуальные (слайды, слайд-фильмы, </w:t>
      </w:r>
      <w:proofErr w:type="gramStart"/>
      <w:r>
        <w:rPr>
          <w:rFonts w:ascii="Times New Roman" w:hAnsi="Times New Roman"/>
          <w:sz w:val="24"/>
          <w:szCs w:val="24"/>
        </w:rPr>
        <w:t>видеофильмы ,</w:t>
      </w:r>
      <w:proofErr w:type="gramEnd"/>
      <w:r>
        <w:rPr>
          <w:rFonts w:ascii="Times New Roman" w:hAnsi="Times New Roman"/>
          <w:sz w:val="24"/>
          <w:szCs w:val="24"/>
        </w:rPr>
        <w:t xml:space="preserve"> фильмы на цифровых носителях).</w:t>
      </w:r>
    </w:p>
    <w:p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Наглядные плоскостные (плакаты, иллюстрации, альбомы, магнитные доски, интерактивная доска).</w:t>
      </w:r>
    </w:p>
    <w:p>
      <w:pPr>
        <w:pStyle w:val="a8"/>
        <w:rPr>
          <w:rFonts w:ascii="Times New Roman" w:hAnsi="Times New Roman"/>
          <w:sz w:val="24"/>
          <w:szCs w:val="24"/>
          <w:lang w:val="tt-RU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Методическое обеспечение программы</w:t>
      </w:r>
    </w:p>
    <w:p>
      <w:pPr>
        <w:pStyle w:val="a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Перечень литературы, способствующей планированию работы кружка</w:t>
      </w:r>
    </w:p>
    <w:p>
      <w:pPr>
        <w:pStyle w:val="a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pacing w:val="-5"/>
          <w:sz w:val="24"/>
          <w:szCs w:val="24"/>
          <w:highlight w:val="white"/>
          <w:lang w:val="tt-RU" w:eastAsia="ru-RU"/>
        </w:rPr>
        <w:t>1.Я.Зарипова “Бәйрәмнәр бәйләме, Казан, “Мәгариф нәш”2005ел</w:t>
      </w:r>
    </w:p>
    <w:p>
      <w:pPr>
        <w:pStyle w:val="a8"/>
        <w:rPr>
          <w:rFonts w:ascii="Times New Roman" w:hAnsi="Times New Roman"/>
          <w:sz w:val="24"/>
          <w:szCs w:val="24"/>
          <w:highlight w:val="white"/>
          <w:lang w:val="tt-RU" w:eastAsia="ru-RU"/>
        </w:rPr>
      </w:pPr>
      <w:r>
        <w:rPr>
          <w:rFonts w:ascii="Times New Roman" w:hAnsi="Times New Roman"/>
          <w:spacing w:val="-4"/>
          <w:sz w:val="24"/>
          <w:szCs w:val="24"/>
          <w:highlight w:val="white"/>
          <w:lang w:val="tt-RU" w:eastAsia="ru-RU"/>
        </w:rPr>
        <w:t>2.Музыкаль әкиятләр. «Җырлап узган җәй», Казан,”Мәгариф нәш” 2009 ел</w:t>
      </w:r>
    </w:p>
    <w:p>
      <w:pPr>
        <w:pStyle w:val="a8"/>
        <w:rPr>
          <w:rFonts w:ascii="Times New Roman" w:hAnsi="Times New Roman"/>
          <w:sz w:val="24"/>
          <w:szCs w:val="24"/>
          <w:highlight w:val="white"/>
          <w:lang w:eastAsia="ru-RU"/>
        </w:rPr>
      </w:pPr>
      <w:r>
        <w:rPr>
          <w:rFonts w:ascii="Times New Roman" w:hAnsi="Times New Roman"/>
          <w:spacing w:val="-3"/>
          <w:sz w:val="24"/>
          <w:szCs w:val="24"/>
          <w:highlight w:val="white"/>
          <w:lang w:eastAsia="ru-RU"/>
        </w:rPr>
        <w:t>З.</w:t>
      </w:r>
      <w:r>
        <w:rPr>
          <w:rFonts w:ascii="Times New Roman" w:hAnsi="Times New Roman"/>
          <w:spacing w:val="-3"/>
          <w:sz w:val="24"/>
          <w:szCs w:val="24"/>
          <w:highlight w:val="white"/>
          <w:lang w:val="tt-RU" w:eastAsia="ru-RU"/>
        </w:rPr>
        <w:t>Р.Ягъфәров “Татар балалар фольклоры</w:t>
      </w:r>
      <w:r>
        <w:rPr>
          <w:rFonts w:ascii="Times New Roman" w:hAnsi="Times New Roman"/>
          <w:spacing w:val="-3"/>
          <w:sz w:val="24"/>
          <w:szCs w:val="24"/>
          <w:highlight w:val="white"/>
          <w:lang w:eastAsia="ru-RU"/>
        </w:rPr>
        <w:t xml:space="preserve">", Казан, </w:t>
      </w:r>
      <w:r>
        <w:rPr>
          <w:rFonts w:ascii="Times New Roman" w:hAnsi="Times New Roman"/>
          <w:spacing w:val="-3"/>
          <w:sz w:val="24"/>
          <w:szCs w:val="24"/>
          <w:highlight w:val="white"/>
          <w:lang w:val="tt-RU" w:eastAsia="ru-RU"/>
        </w:rPr>
        <w:t>“Раннур нәш”</w:t>
      </w:r>
      <w:r>
        <w:rPr>
          <w:rFonts w:ascii="Times New Roman" w:hAnsi="Times New Roman"/>
          <w:spacing w:val="-3"/>
          <w:sz w:val="24"/>
          <w:szCs w:val="24"/>
          <w:highlight w:val="white"/>
          <w:lang w:eastAsia="ru-RU"/>
        </w:rPr>
        <w:t>199</w:t>
      </w:r>
      <w:r>
        <w:rPr>
          <w:rFonts w:ascii="Times New Roman" w:hAnsi="Times New Roman"/>
          <w:spacing w:val="-3"/>
          <w:sz w:val="24"/>
          <w:szCs w:val="24"/>
          <w:highlight w:val="white"/>
          <w:lang w:val="tt-RU" w:eastAsia="ru-RU"/>
        </w:rPr>
        <w:t>9</w:t>
      </w:r>
      <w:r>
        <w:rPr>
          <w:rFonts w:ascii="Times New Roman" w:hAnsi="Times New Roman"/>
          <w:spacing w:val="-3"/>
          <w:sz w:val="24"/>
          <w:szCs w:val="24"/>
          <w:highlight w:val="white"/>
          <w:lang w:eastAsia="ru-RU"/>
        </w:rPr>
        <w:t xml:space="preserve"> ел</w:t>
      </w:r>
    </w:p>
    <w:p>
      <w:pPr>
        <w:pStyle w:val="a8"/>
        <w:rPr>
          <w:rFonts w:ascii="Times New Roman" w:hAnsi="Times New Roman"/>
          <w:sz w:val="24"/>
          <w:szCs w:val="24"/>
          <w:highlight w:val="white"/>
          <w:lang w:val="tt-RU" w:eastAsia="ru-RU"/>
        </w:rPr>
      </w:pPr>
      <w:r>
        <w:rPr>
          <w:rFonts w:ascii="Times New Roman" w:hAnsi="Times New Roman"/>
          <w:spacing w:val="-4"/>
          <w:sz w:val="24"/>
          <w:szCs w:val="24"/>
          <w:highlight w:val="white"/>
          <w:lang w:val="tt-RU" w:eastAsia="ru-RU"/>
        </w:rPr>
        <w:t>4. Л.И. Минһаҗева “Балалар фол</w:t>
      </w:r>
      <w:r>
        <w:rPr>
          <w:rFonts w:ascii="Times New Roman" w:hAnsi="Times New Roman"/>
          <w:spacing w:val="-4"/>
          <w:sz w:val="24"/>
          <w:szCs w:val="24"/>
          <w:highlight w:val="white"/>
          <w:lang w:eastAsia="ru-RU"/>
        </w:rPr>
        <w:t>ь</w:t>
      </w:r>
      <w:r>
        <w:rPr>
          <w:rFonts w:ascii="Times New Roman" w:hAnsi="Times New Roman"/>
          <w:spacing w:val="-4"/>
          <w:sz w:val="24"/>
          <w:szCs w:val="24"/>
          <w:highlight w:val="white"/>
          <w:lang w:val="tt-RU" w:eastAsia="ru-RU"/>
        </w:rPr>
        <w:t>клоры”, Хәтер-2009</w:t>
      </w:r>
    </w:p>
    <w:p>
      <w:pPr>
        <w:pStyle w:val="a8"/>
        <w:rPr>
          <w:rFonts w:ascii="Times New Roman" w:hAnsi="Times New Roman"/>
          <w:sz w:val="24"/>
          <w:szCs w:val="24"/>
          <w:highlight w:val="white"/>
          <w:lang w:val="tt-RU" w:eastAsia="ru-RU"/>
        </w:rPr>
      </w:pPr>
      <w:r>
        <w:rPr>
          <w:rFonts w:ascii="Times New Roman" w:hAnsi="Times New Roman"/>
          <w:spacing w:val="-1"/>
          <w:sz w:val="24"/>
          <w:szCs w:val="24"/>
          <w:highlight w:val="white"/>
          <w:lang w:val="tt-RU" w:eastAsia="ru-RU"/>
        </w:rPr>
        <w:t>5."Сабантуй" газетасы</w:t>
      </w:r>
    </w:p>
    <w:p>
      <w:pPr>
        <w:pStyle w:val="a8"/>
        <w:rPr>
          <w:rFonts w:ascii="Times New Roman" w:hAnsi="Times New Roman"/>
          <w:sz w:val="24"/>
          <w:szCs w:val="24"/>
          <w:highlight w:val="white"/>
          <w:lang w:val="tt-RU" w:eastAsia="ru-RU"/>
        </w:rPr>
      </w:pPr>
      <w:r>
        <w:rPr>
          <w:rFonts w:ascii="Times New Roman" w:hAnsi="Times New Roman"/>
          <w:spacing w:val="-1"/>
          <w:sz w:val="24"/>
          <w:szCs w:val="24"/>
          <w:highlight w:val="white"/>
          <w:lang w:val="tt-RU" w:eastAsia="ru-RU"/>
        </w:rPr>
        <w:t>6."Көмеш кыңгырау" газетасы.</w:t>
      </w:r>
    </w:p>
    <w:p>
      <w:pPr>
        <w:pStyle w:val="a8"/>
        <w:rPr>
          <w:rFonts w:ascii="Times New Roman" w:hAnsi="Times New Roman"/>
          <w:spacing w:val="-4"/>
          <w:sz w:val="24"/>
          <w:szCs w:val="24"/>
          <w:highlight w:val="white"/>
          <w:lang w:val="tt-RU" w:eastAsia="ru-RU"/>
        </w:rPr>
      </w:pPr>
      <w:r>
        <w:rPr>
          <w:rFonts w:ascii="Times New Roman" w:hAnsi="Times New Roman"/>
          <w:spacing w:val="-4"/>
          <w:sz w:val="24"/>
          <w:szCs w:val="24"/>
          <w:highlight w:val="white"/>
          <w:lang w:val="tt-RU" w:eastAsia="ru-RU"/>
        </w:rPr>
        <w:t xml:space="preserve">7.Л.И. Минһаҗева, И.Х.Мияссарова “ Татар балалар әдәбиятыннан хрестоматия” (2,том) 2011 </w:t>
      </w:r>
    </w:p>
    <w:p>
      <w:pPr>
        <w:pStyle w:val="a8"/>
        <w:rPr>
          <w:rFonts w:ascii="Times New Roman" w:hAnsi="Times New Roman"/>
          <w:spacing w:val="-5"/>
          <w:sz w:val="24"/>
          <w:szCs w:val="24"/>
          <w:highlight w:val="white"/>
          <w:lang w:val="tt-RU" w:eastAsia="ru-RU"/>
        </w:rPr>
      </w:pPr>
      <w:r>
        <w:rPr>
          <w:rFonts w:ascii="Times New Roman" w:hAnsi="Times New Roman"/>
          <w:spacing w:val="-4"/>
          <w:sz w:val="24"/>
          <w:szCs w:val="24"/>
          <w:highlight w:val="white"/>
          <w:lang w:val="tt-RU" w:eastAsia="ru-RU"/>
        </w:rPr>
        <w:t>8. Р.Ягъфаров  “Ал кирәк, гөл кирәк”, Мәгариф “нәш 1995 ел</w:t>
      </w:r>
    </w:p>
    <w:p>
      <w:pPr>
        <w:pStyle w:val="a8"/>
        <w:rPr>
          <w:rFonts w:ascii="Times New Roman" w:hAnsi="Times New Roman"/>
          <w:spacing w:val="-5"/>
          <w:sz w:val="24"/>
          <w:szCs w:val="24"/>
          <w:highlight w:val="white"/>
          <w:lang w:val="tt-RU" w:eastAsia="ru-RU"/>
        </w:rPr>
      </w:pPr>
      <w:r>
        <w:rPr>
          <w:rFonts w:ascii="Times New Roman" w:hAnsi="Times New Roman"/>
          <w:spacing w:val="-5"/>
          <w:sz w:val="24"/>
          <w:szCs w:val="24"/>
          <w:highlight w:val="white"/>
          <w:lang w:val="tt-RU" w:eastAsia="ru-RU"/>
        </w:rPr>
        <w:t>9.Татар халкының җырлы-биюле  уеннары, Казан, “Мәгариф нәш”1968ел</w:t>
      </w:r>
    </w:p>
    <w:p>
      <w:pPr>
        <w:pStyle w:val="a8"/>
        <w:rPr>
          <w:rFonts w:ascii="Times New Roman" w:hAnsi="Times New Roman"/>
          <w:spacing w:val="-5"/>
          <w:sz w:val="24"/>
          <w:szCs w:val="24"/>
          <w:highlight w:val="white"/>
          <w:lang w:val="tt-RU" w:eastAsia="ru-RU"/>
        </w:rPr>
      </w:pPr>
      <w:r>
        <w:rPr>
          <w:rFonts w:ascii="Times New Roman" w:hAnsi="Times New Roman"/>
          <w:spacing w:val="-5"/>
          <w:sz w:val="24"/>
          <w:szCs w:val="24"/>
          <w:highlight w:val="white"/>
          <w:lang w:val="tt-RU" w:eastAsia="ru-RU"/>
        </w:rPr>
        <w:t>10. Татар халык җырлары,   Казан, “Мәгариф” нәш”2000ел</w:t>
      </w:r>
    </w:p>
    <w:p>
      <w:pPr>
        <w:autoSpaceDE w:val="0"/>
        <w:autoSpaceDN w:val="0"/>
        <w:adjustRightInd w:val="0"/>
        <w:spacing w:after="0" w:line="240" w:lineRule="auto"/>
        <w:ind w:left="24"/>
        <w:rPr>
          <w:rFonts w:ascii="Times New Roman" w:hAnsi="Times New Roman"/>
          <w:spacing w:val="-5"/>
          <w:sz w:val="24"/>
          <w:szCs w:val="24"/>
          <w:highlight w:val="white"/>
          <w:lang w:val="tt-RU" w:eastAsia="ru-RU"/>
        </w:rPr>
      </w:pPr>
    </w:p>
    <w:p>
      <w:pPr>
        <w:pStyle w:val="a8"/>
        <w:rPr>
          <w:rFonts w:ascii="Times New Roman" w:hAnsi="Times New Roman"/>
          <w:b/>
          <w:sz w:val="24"/>
          <w:szCs w:val="24"/>
          <w:highlight w:val="white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highlight w:val="white"/>
          <w:lang w:val="tt-RU" w:eastAsia="ru-RU"/>
        </w:rPr>
        <w:t>Интернет ресурслары</w:t>
      </w:r>
    </w:p>
    <w:p>
      <w:pPr>
        <w:pStyle w:val="a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0" w:tgtFrame="_blank" w:history="1">
        <w:r>
          <w:rPr>
            <w:rFonts w:ascii="Times New Roman" w:hAnsi="Times New Roman"/>
            <w:bCs/>
            <w:color w:val="000000"/>
            <w:sz w:val="24"/>
            <w:szCs w:val="24"/>
            <w:shd w:val="clear" w:color="auto" w:fill="F7F6E9"/>
            <w:lang w:eastAsia="ru-RU"/>
          </w:rPr>
          <w:t xml:space="preserve">1.Белем. </w:t>
        </w:r>
        <w:proofErr w:type="spellStart"/>
        <w:r>
          <w:rPr>
            <w:rFonts w:ascii="Times New Roman" w:hAnsi="Times New Roman"/>
            <w:bCs/>
            <w:color w:val="000000"/>
            <w:sz w:val="24"/>
            <w:szCs w:val="24"/>
            <w:shd w:val="clear" w:color="auto" w:fill="F7F6E9"/>
            <w:lang w:eastAsia="ru-RU"/>
          </w:rPr>
          <w:t>ру</w:t>
        </w:r>
        <w:proofErr w:type="spellEnd"/>
        <w:r>
          <w:rPr>
            <w:rFonts w:ascii="Times New Roman" w:hAnsi="Times New Roman"/>
            <w:bCs/>
            <w:color w:val="000000"/>
            <w:sz w:val="24"/>
            <w:szCs w:val="24"/>
            <w:shd w:val="clear" w:color="auto" w:fill="F7F6E9"/>
            <w:lang w:eastAsia="ru-RU"/>
          </w:rPr>
          <w:t xml:space="preserve"> - татар интернет-</w:t>
        </w:r>
        <w:proofErr w:type="spellStart"/>
        <w:r>
          <w:rPr>
            <w:rFonts w:ascii="Times New Roman" w:hAnsi="Times New Roman"/>
            <w:bCs/>
            <w:color w:val="000000"/>
            <w:sz w:val="24"/>
            <w:szCs w:val="24"/>
            <w:shd w:val="clear" w:color="auto" w:fill="F7F6E9"/>
            <w:lang w:eastAsia="ru-RU"/>
          </w:rPr>
          <w:t>белем</w:t>
        </w:r>
        <w:proofErr w:type="spellEnd"/>
        <w:r>
          <w:rPr>
            <w:rFonts w:ascii="Times New Roman" w:hAnsi="Times New Roman"/>
            <w:bCs/>
            <w:color w:val="000000"/>
            <w:sz w:val="24"/>
            <w:szCs w:val="24"/>
            <w:shd w:val="clear" w:color="auto" w:fill="F7F6E9"/>
            <w:lang w:eastAsia="ru-RU"/>
          </w:rPr>
          <w:t xml:space="preserve"> </w:t>
        </w:r>
        <w:proofErr w:type="spellStart"/>
        <w:r>
          <w:rPr>
            <w:rFonts w:ascii="Times New Roman" w:hAnsi="Times New Roman"/>
            <w:bCs/>
            <w:color w:val="000000"/>
            <w:sz w:val="24"/>
            <w:szCs w:val="24"/>
            <w:shd w:val="clear" w:color="auto" w:fill="F7F6E9"/>
            <w:lang w:eastAsia="ru-RU"/>
          </w:rPr>
          <w:t>үзәге</w:t>
        </w:r>
        <w:proofErr w:type="spellEnd"/>
        <w:r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 xml:space="preserve"> </w:t>
        </w:r>
        <w:r>
          <w:rPr>
            <w:rFonts w:ascii="Times New Roman" w:eastAsia="Times New Roman" w:hAnsi="Times New Roman"/>
            <w:bCs/>
            <w:color w:val="000000"/>
            <w:sz w:val="24"/>
            <w:szCs w:val="24"/>
            <w:lang w:eastAsia="ru-RU"/>
          </w:rPr>
          <w:t>belem</w:t>
        </w:r>
        <w:r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.ru</w:t>
        </w:r>
      </w:hyperlink>
    </w:p>
    <w:p>
      <w:pPr>
        <w:pStyle w:val="a8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highlight w:val="white"/>
          <w:lang w:val="tt-RU" w:eastAsia="ru-RU"/>
        </w:rPr>
        <w:t>2.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Театраль афиша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 </w:t>
      </w:r>
      <w:hyperlink r:id="rId11" w:tgtFrame="_blank" w:history="1">
        <w:r>
          <w:rPr>
            <w:rFonts w:ascii="Times New Roman" w:eastAsia="Times New Roman" w:hAnsi="Times New Roman"/>
            <w:color w:val="000000"/>
            <w:sz w:val="24"/>
            <w:szCs w:val="24"/>
            <w:lang w:val="tt-RU" w:eastAsia="ru-RU"/>
          </w:rPr>
          <w:t>http://www.taganka-sat.ru</w:t>
        </w:r>
      </w:hyperlink>
    </w:p>
    <w:p>
      <w:pPr>
        <w:pStyle w:val="a8"/>
        <w:rPr>
          <w:rFonts w:ascii="Times New Roman" w:hAnsi="Times New Roman"/>
          <w:sz w:val="24"/>
          <w:szCs w:val="24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3.</w:t>
      </w:r>
      <w:r>
        <w:fldChar w:fldCharType="begin"/>
      </w:r>
      <w:r>
        <w:instrText xml:space="preserve"> HYPERLINK "https://nsportal.ru/" \o "На главную" </w:instrText>
      </w:r>
      <w:r>
        <w:fldChar w:fldCharType="separate"/>
      </w:r>
      <w:r>
        <w:rPr>
          <w:rFonts w:ascii="Times New Roman" w:hAnsi="Times New Roman"/>
          <w:sz w:val="24"/>
          <w:szCs w:val="24"/>
          <w:shd w:val="clear" w:color="auto" w:fill="FFFFFF"/>
          <w:lang w:val="tt-RU" w:eastAsia="ru-RU"/>
        </w:rPr>
        <w:t>Социальная  сеть  nsportal.ru</w:t>
      </w:r>
      <w:r>
        <w:rPr>
          <w:rFonts w:ascii="Times New Roman" w:hAnsi="Times New Roman"/>
          <w:sz w:val="24"/>
          <w:szCs w:val="24"/>
          <w:shd w:val="clear" w:color="auto" w:fill="FFFFFF"/>
          <w:lang w:val="tt-RU" w:eastAsia="ru-RU"/>
        </w:rPr>
        <w:fldChar w:fldCharType="end"/>
      </w:r>
    </w:p>
    <w:p>
      <w:pPr>
        <w:pStyle w:val="a8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tt-RU"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instrText xml:space="preserve"> HYPERLINK "http://putokt.bashkortostan102.ru/kultura/2016-zhemchuzhiny-dushi-naroda-yurty.html" </w:instrText>
      </w:r>
      <w:r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putokt.bashkortostan102.ru › 2016-zhemchuzhiny-dushi-naroda-yurty  Жемчужины души народа - юрты » Путь Октября - Общественно ...</w:t>
      </w:r>
    </w:p>
    <w:p>
      <w:pPr>
        <w:pStyle w:val="a8"/>
        <w:rPr>
          <w:rFonts w:eastAsia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>
      <w:pPr>
        <w:pStyle w:val="a8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Реализация программы</w:t>
      </w:r>
    </w:p>
    <w:p>
      <w:pPr>
        <w:pStyle w:val="a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Әкият китаплары.</w:t>
      </w:r>
    </w:p>
    <w:p>
      <w:pPr>
        <w:pStyle w:val="a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Күренекле драматургларның китаплары.</w:t>
      </w:r>
    </w:p>
    <w:p>
      <w:pPr>
        <w:pStyle w:val="a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“Сәхнә” </w:t>
      </w:r>
      <w:r>
        <w:rPr>
          <w:rFonts w:ascii="Times New Roman" w:hAnsi="Times New Roman"/>
          <w:sz w:val="24"/>
          <w:szCs w:val="24"/>
          <w:lang w:eastAsia="ru-RU"/>
        </w:rPr>
        <w:t>ж</w:t>
      </w:r>
      <w:r>
        <w:rPr>
          <w:rFonts w:ascii="Times New Roman" w:hAnsi="Times New Roman"/>
          <w:sz w:val="24"/>
          <w:szCs w:val="24"/>
          <w:lang w:val="tt-RU" w:eastAsia="ru-RU"/>
        </w:rPr>
        <w:t>урналы.</w:t>
      </w:r>
    </w:p>
    <w:p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val="tt-RU" w:eastAsia="ru-RU"/>
        </w:rPr>
      </w:pPr>
    </w:p>
    <w:p>
      <w:pPr>
        <w:pStyle w:val="a8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9. Список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используемой  литературы</w:t>
      </w:r>
      <w:proofErr w:type="gramEnd"/>
    </w:p>
    <w:p>
      <w:pPr>
        <w:pStyle w:val="a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Театр. Кино. Цирк. Эстрада. Телевидение. Энциклопедический словарь юного зрителя. - М.,1989</w:t>
      </w:r>
    </w:p>
    <w:p>
      <w:pPr>
        <w:pStyle w:val="a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Я познаю мир. Театр. Детская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энциклопедия.-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М., 2002</w:t>
      </w:r>
    </w:p>
    <w:p>
      <w:pPr>
        <w:pStyle w:val="a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Молчанов Ю. Не мечтай о театре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вслепую.-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М., 1987</w:t>
      </w:r>
    </w:p>
    <w:p>
      <w:pPr>
        <w:pStyle w:val="a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Татарский песенник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Яраткан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жырлар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», Казань,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1989 ;</w:t>
      </w:r>
      <w:proofErr w:type="gramEnd"/>
    </w:p>
    <w:p>
      <w:pPr>
        <w:pStyle w:val="a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Татарский песенник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Жырлыйк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та,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биик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тэ», Казань,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1988 ;</w:t>
      </w:r>
      <w:proofErr w:type="gramEnd"/>
    </w:p>
    <w:p>
      <w:pPr>
        <w:pStyle w:val="a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Ф.С. Сафиуллина «Татарский язык. Самоучитель», Казань,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1991 ;</w:t>
      </w:r>
      <w:proofErr w:type="gramEnd"/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14FA1"/>
    <w:multiLevelType w:val="multilevel"/>
    <w:tmpl w:val="368034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13546"/>
    <w:multiLevelType w:val="hybridMultilevel"/>
    <w:tmpl w:val="65D06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45EB5"/>
    <w:multiLevelType w:val="hybridMultilevel"/>
    <w:tmpl w:val="FEA6D5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F6912"/>
    <w:multiLevelType w:val="hybridMultilevel"/>
    <w:tmpl w:val="626E8750"/>
    <w:lvl w:ilvl="0" w:tplc="29CA85B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73849"/>
    <w:multiLevelType w:val="hybridMultilevel"/>
    <w:tmpl w:val="2CB450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27612"/>
    <w:multiLevelType w:val="hybridMultilevel"/>
    <w:tmpl w:val="3A6CC86C"/>
    <w:lvl w:ilvl="0" w:tplc="4B185A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E05FDD"/>
    <w:multiLevelType w:val="hybridMultilevel"/>
    <w:tmpl w:val="F738A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701C3"/>
    <w:multiLevelType w:val="multilevel"/>
    <w:tmpl w:val="67882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985FA9"/>
    <w:multiLevelType w:val="multilevel"/>
    <w:tmpl w:val="6148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95617"/>
    <w:multiLevelType w:val="hybridMultilevel"/>
    <w:tmpl w:val="014046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17C14"/>
    <w:multiLevelType w:val="multilevel"/>
    <w:tmpl w:val="DB46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9D199B"/>
    <w:multiLevelType w:val="hybridMultilevel"/>
    <w:tmpl w:val="AF4EE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E1408"/>
    <w:multiLevelType w:val="hybridMultilevel"/>
    <w:tmpl w:val="4E687F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5E3E5A"/>
    <w:multiLevelType w:val="hybridMultilevel"/>
    <w:tmpl w:val="9F2022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21"/>
  </w:num>
  <w:num w:numId="5">
    <w:abstractNumId w:val="2"/>
  </w:num>
  <w:num w:numId="6">
    <w:abstractNumId w:val="20"/>
  </w:num>
  <w:num w:numId="7">
    <w:abstractNumId w:val="0"/>
  </w:num>
  <w:num w:numId="8">
    <w:abstractNumId w:val="19"/>
  </w:num>
  <w:num w:numId="9">
    <w:abstractNumId w:val="3"/>
  </w:num>
  <w:num w:numId="10">
    <w:abstractNumId w:val="12"/>
  </w:num>
  <w:num w:numId="11">
    <w:abstractNumId w:val="22"/>
  </w:num>
  <w:num w:numId="12">
    <w:abstractNumId w:val="16"/>
  </w:num>
  <w:num w:numId="13">
    <w:abstractNumId w:val="14"/>
  </w:num>
  <w:num w:numId="14">
    <w:abstractNumId w:val="11"/>
  </w:num>
  <w:num w:numId="15">
    <w:abstractNumId w:val="6"/>
  </w:num>
  <w:num w:numId="16">
    <w:abstractNumId w:val="8"/>
  </w:num>
  <w:num w:numId="17">
    <w:abstractNumId w:val="15"/>
  </w:num>
  <w:num w:numId="18">
    <w:abstractNumId w:val="5"/>
  </w:num>
  <w:num w:numId="19">
    <w:abstractNumId w:val="18"/>
  </w:num>
  <w:num w:numId="20">
    <w:abstractNumId w:val="7"/>
  </w:num>
  <w:num w:numId="21">
    <w:abstractNumId w:val="13"/>
  </w:num>
  <w:num w:numId="22">
    <w:abstractNumId w:val="1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27DAC-0E24-4815-908E-DC98948C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character" w:customStyle="1" w:styleId="c1">
    <w:name w:val="c1"/>
  </w:style>
  <w:style w:type="paragraph" w:customStyle="1" w:styleId="c23">
    <w:name w:val="c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8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ganka-sa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elem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2602</Words>
  <Characters>14833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</cp:lastModifiedBy>
  <cp:revision>5</cp:revision>
  <cp:lastPrinted>2023-09-10T16:05:00Z</cp:lastPrinted>
  <dcterms:created xsi:type="dcterms:W3CDTF">2023-09-15T10:18:00Z</dcterms:created>
  <dcterms:modified xsi:type="dcterms:W3CDTF">2023-09-18T09:52:00Z</dcterms:modified>
</cp:coreProperties>
</file>